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07" w:rsidRDefault="00DE1007" w:rsidP="00DE1007">
      <w:pPr>
        <w:widowControl/>
        <w:spacing w:line="420" w:lineRule="exact"/>
        <w:jc w:val="left"/>
        <w:rPr>
          <w:rFonts w:ascii="仿宋" w:eastAsia="仿宋" w:hAnsi="仿宋"/>
          <w:sz w:val="24"/>
          <w:szCs w:val="24"/>
        </w:rPr>
      </w:pPr>
      <w:r>
        <w:rPr>
          <w:rFonts w:ascii="仿宋" w:eastAsia="仿宋" w:hAnsi="仿宋" w:hint="eastAsia"/>
          <w:sz w:val="24"/>
          <w:szCs w:val="24"/>
        </w:rPr>
        <w:t>附件：项目采购需求文件</w:t>
      </w:r>
    </w:p>
    <w:p w:rsidR="00DE1007" w:rsidRDefault="00DE1007" w:rsidP="00DE1007">
      <w:pPr>
        <w:widowControl/>
        <w:spacing w:line="500" w:lineRule="exact"/>
        <w:ind w:firstLine="430"/>
        <w:jc w:val="center"/>
        <w:rPr>
          <w:rFonts w:ascii="仿宋" w:eastAsia="仿宋" w:hAnsi="仿宋" w:hint="eastAsia"/>
          <w:b/>
          <w:bCs/>
          <w:kern w:val="0"/>
          <w:sz w:val="28"/>
          <w:szCs w:val="28"/>
        </w:rPr>
      </w:pPr>
      <w:r>
        <w:rPr>
          <w:rFonts w:ascii="仿宋" w:eastAsia="仿宋" w:hAnsi="仿宋" w:hint="eastAsia"/>
          <w:b/>
          <w:bCs/>
          <w:kern w:val="0"/>
          <w:sz w:val="28"/>
          <w:szCs w:val="28"/>
        </w:rPr>
        <w:t>技术要求和规格</w:t>
      </w:r>
    </w:p>
    <w:p w:rsidR="00DE1007" w:rsidRDefault="00DE1007" w:rsidP="00DE1007">
      <w:pPr>
        <w:widowControl/>
        <w:spacing w:line="500" w:lineRule="exact"/>
        <w:ind w:firstLine="430"/>
        <w:jc w:val="left"/>
        <w:rPr>
          <w:rFonts w:ascii="仿宋" w:eastAsia="仿宋" w:hAnsi="仿宋" w:hint="eastAsia"/>
          <w:b/>
          <w:bCs/>
        </w:rPr>
      </w:pPr>
      <w:r>
        <w:rPr>
          <w:rFonts w:ascii="仿宋" w:eastAsia="仿宋" w:hAnsi="仿宋" w:hint="eastAsia"/>
          <w:b/>
          <w:bCs/>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rsidR="00DE1007" w:rsidRDefault="00DE1007" w:rsidP="00DE1007">
      <w:pPr>
        <w:widowControl/>
        <w:spacing w:line="360" w:lineRule="auto"/>
        <w:ind w:firstLine="405"/>
        <w:jc w:val="left"/>
        <w:rPr>
          <w:rFonts w:ascii="仿宋" w:eastAsia="仿宋" w:hAnsi="仿宋" w:hint="eastAsia"/>
          <w:b/>
          <w:bCs/>
        </w:rPr>
      </w:pPr>
      <w:r>
        <w:rPr>
          <w:rFonts w:ascii="仿宋" w:eastAsia="仿宋" w:hAnsi="仿宋" w:hint="eastAsia"/>
          <w:b/>
          <w:bCs/>
        </w:rPr>
        <w:t>单一产品采购时，提供相同品牌产品且通过资格审查、符合性审查的不同投标人参加同一合同项下投标的，按一家投标人计算，评审后得分最高的同品牌投标人获得中标人推荐资格；评审得分相同的，由采购人代表或采购人代表委托评标委员会采取随机抽取方式确定，其他投标无效。</w:t>
      </w:r>
    </w:p>
    <w:p w:rsidR="00DE1007" w:rsidRDefault="00DE1007" w:rsidP="00DE1007">
      <w:pPr>
        <w:widowControl/>
        <w:spacing w:line="500" w:lineRule="exact"/>
        <w:ind w:firstLine="405"/>
        <w:jc w:val="left"/>
        <w:rPr>
          <w:rFonts w:ascii="仿宋" w:eastAsia="仿宋" w:hAnsi="仿宋" w:hint="eastAsia"/>
          <w:b/>
          <w:bCs/>
        </w:rPr>
      </w:pPr>
      <w:r>
        <w:rPr>
          <w:rFonts w:ascii="仿宋" w:eastAsia="仿宋" w:hAnsi="仿宋" w:hint="eastAsia"/>
          <w:b/>
          <w:bCs/>
        </w:rPr>
        <w:t>非单一产品采购项目，提供的核心产品品牌相同的，按前款处理。核心产品由采购人根据采购项目技术构成、产品价格比重等合理确定，并载明在招标文件的货物需求及技术要求中，本次招标中所有产品品牌均对应相同的就视为核心产品品牌相同。</w:t>
      </w:r>
    </w:p>
    <w:p w:rsidR="00DE1007" w:rsidRDefault="00DE1007" w:rsidP="00DE1007">
      <w:pPr>
        <w:ind w:firstLineChars="200" w:firstLine="422"/>
        <w:rPr>
          <w:rFonts w:ascii="仿宋" w:eastAsia="仿宋" w:hAnsi="仿宋" w:hint="eastAsia"/>
          <w:b/>
          <w:bCs/>
        </w:rPr>
      </w:pPr>
      <w:r>
        <w:rPr>
          <w:rFonts w:ascii="仿宋" w:eastAsia="仿宋" w:hAnsi="仿宋" w:hint="eastAsia"/>
          <w:b/>
          <w:bCs/>
        </w:rPr>
        <w:t xml:space="preserve"> </w:t>
      </w:r>
    </w:p>
    <w:p w:rsidR="00DE1007" w:rsidRDefault="00DE1007" w:rsidP="00DE1007">
      <w:pPr>
        <w:ind w:firstLineChars="200" w:firstLine="482"/>
        <w:rPr>
          <w:rFonts w:ascii="仿宋" w:eastAsia="仿宋" w:hAnsi="仿宋" w:hint="eastAsia"/>
          <w:b/>
          <w:bCs/>
          <w:sz w:val="24"/>
          <w:szCs w:val="24"/>
        </w:rPr>
      </w:pPr>
      <w:r>
        <w:rPr>
          <w:rFonts w:ascii="仿宋" w:eastAsia="仿宋" w:hAnsi="仿宋" w:hint="eastAsia"/>
          <w:b/>
          <w:bCs/>
          <w:sz w:val="24"/>
          <w:szCs w:val="24"/>
        </w:rPr>
        <w:t>一、商务要求</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2296"/>
        <w:gridCol w:w="5631"/>
      </w:tblGrid>
      <w:tr w:rsidR="00DE1007" w:rsidTr="00DE1007">
        <w:trPr>
          <w:cantSplit/>
          <w:trHeight w:val="461"/>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DE1007" w:rsidRDefault="00DE1007">
            <w:pPr>
              <w:jc w:val="center"/>
              <w:rPr>
                <w:rFonts w:ascii="仿宋" w:eastAsia="仿宋" w:hAnsi="仿宋"/>
                <w:b/>
                <w:bCs/>
                <w:kern w:val="0"/>
                <w:sz w:val="24"/>
                <w:szCs w:val="24"/>
              </w:rPr>
            </w:pPr>
            <w:r>
              <w:rPr>
                <w:rFonts w:ascii="仿宋" w:eastAsia="仿宋" w:hAnsi="仿宋" w:hint="eastAsia"/>
                <w:b/>
                <w:bCs/>
                <w:kern w:val="0"/>
                <w:sz w:val="24"/>
                <w:szCs w:val="24"/>
              </w:rPr>
              <w:t>序号</w:t>
            </w:r>
          </w:p>
        </w:tc>
        <w:tc>
          <w:tcPr>
            <w:tcW w:w="2296" w:type="dxa"/>
            <w:tcBorders>
              <w:top w:val="single" w:sz="4" w:space="0" w:color="auto"/>
              <w:left w:val="nil"/>
              <w:bottom w:val="single" w:sz="4" w:space="0" w:color="auto"/>
              <w:right w:val="single" w:sz="4" w:space="0" w:color="auto"/>
            </w:tcBorders>
            <w:vAlign w:val="center"/>
            <w:hideMark/>
          </w:tcPr>
          <w:p w:rsidR="00DE1007" w:rsidRDefault="00DE1007">
            <w:pPr>
              <w:jc w:val="center"/>
              <w:rPr>
                <w:rFonts w:ascii="仿宋" w:eastAsia="仿宋" w:hAnsi="仿宋"/>
                <w:b/>
                <w:bCs/>
                <w:kern w:val="0"/>
                <w:sz w:val="24"/>
                <w:szCs w:val="24"/>
              </w:rPr>
            </w:pPr>
            <w:r>
              <w:rPr>
                <w:rFonts w:ascii="仿宋" w:eastAsia="仿宋" w:hAnsi="仿宋" w:hint="eastAsia"/>
                <w:b/>
                <w:bCs/>
                <w:kern w:val="0"/>
                <w:sz w:val="24"/>
                <w:szCs w:val="24"/>
              </w:rPr>
              <w:t>商务条款名称</w:t>
            </w:r>
          </w:p>
        </w:tc>
        <w:tc>
          <w:tcPr>
            <w:tcW w:w="5631" w:type="dxa"/>
            <w:tcBorders>
              <w:top w:val="single" w:sz="4" w:space="0" w:color="auto"/>
              <w:left w:val="nil"/>
              <w:bottom w:val="single" w:sz="4" w:space="0" w:color="auto"/>
              <w:right w:val="single" w:sz="4" w:space="0" w:color="auto"/>
            </w:tcBorders>
            <w:vAlign w:val="center"/>
            <w:hideMark/>
          </w:tcPr>
          <w:p w:rsidR="00DE1007" w:rsidRDefault="00DE1007">
            <w:pPr>
              <w:jc w:val="center"/>
              <w:rPr>
                <w:rFonts w:ascii="仿宋" w:eastAsia="仿宋" w:hAnsi="仿宋"/>
                <w:b/>
                <w:bCs/>
                <w:kern w:val="0"/>
                <w:sz w:val="24"/>
                <w:szCs w:val="24"/>
              </w:rPr>
            </w:pPr>
            <w:r>
              <w:rPr>
                <w:rFonts w:ascii="仿宋" w:eastAsia="仿宋" w:hAnsi="仿宋" w:hint="eastAsia"/>
                <w:b/>
                <w:bCs/>
                <w:kern w:val="0"/>
                <w:sz w:val="24"/>
                <w:szCs w:val="24"/>
              </w:rPr>
              <w:t>具体要求内容</w:t>
            </w:r>
          </w:p>
        </w:tc>
      </w:tr>
      <w:tr w:rsidR="00DE1007" w:rsidTr="00DE1007">
        <w:trPr>
          <w:cantSplit/>
          <w:trHeight w:val="840"/>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DE1007" w:rsidRDefault="00DE1007">
            <w:pPr>
              <w:jc w:val="center"/>
              <w:rPr>
                <w:rFonts w:ascii="仿宋" w:eastAsia="仿宋" w:hAnsi="仿宋"/>
              </w:rPr>
            </w:pPr>
            <w:r>
              <w:rPr>
                <w:rFonts w:ascii="仿宋" w:eastAsia="仿宋" w:hAnsi="仿宋" w:hint="eastAsia"/>
              </w:rPr>
              <w:t>1</w:t>
            </w:r>
          </w:p>
        </w:tc>
        <w:tc>
          <w:tcPr>
            <w:tcW w:w="2296" w:type="dxa"/>
            <w:tcBorders>
              <w:top w:val="single" w:sz="4" w:space="0" w:color="auto"/>
              <w:left w:val="nil"/>
              <w:bottom w:val="single" w:sz="4" w:space="0" w:color="auto"/>
              <w:right w:val="single" w:sz="4" w:space="0" w:color="auto"/>
            </w:tcBorders>
            <w:vAlign w:val="center"/>
            <w:hideMark/>
          </w:tcPr>
          <w:p w:rsidR="00DE1007" w:rsidRDefault="00DE1007">
            <w:pPr>
              <w:jc w:val="left"/>
              <w:rPr>
                <w:rFonts w:ascii="仿宋" w:eastAsia="仿宋" w:hAnsi="仿宋"/>
              </w:rPr>
            </w:pPr>
            <w:r>
              <w:rPr>
                <w:rFonts w:ascii="仿宋" w:eastAsia="仿宋" w:hAnsi="仿宋" w:hint="eastAsia"/>
              </w:rPr>
              <w:t>付款方式</w:t>
            </w:r>
          </w:p>
        </w:tc>
        <w:tc>
          <w:tcPr>
            <w:tcW w:w="5631" w:type="dxa"/>
            <w:tcBorders>
              <w:top w:val="single" w:sz="4" w:space="0" w:color="auto"/>
              <w:left w:val="nil"/>
              <w:bottom w:val="single" w:sz="4" w:space="0" w:color="auto"/>
              <w:right w:val="single" w:sz="4" w:space="0" w:color="auto"/>
            </w:tcBorders>
            <w:vAlign w:val="center"/>
            <w:hideMark/>
          </w:tcPr>
          <w:p w:rsidR="00DE1007" w:rsidRDefault="00DE1007">
            <w:pPr>
              <w:jc w:val="left"/>
              <w:rPr>
                <w:rFonts w:ascii="仿宋" w:eastAsia="仿宋" w:hAnsi="仿宋"/>
              </w:rPr>
            </w:pPr>
            <w:r>
              <w:rPr>
                <w:rFonts w:ascii="仿宋" w:eastAsia="仿宋" w:hAnsi="仿宋" w:hint="eastAsia"/>
              </w:rPr>
              <w:t>供货安装完成并通过验收合格后无任何质量问题一次性付清。但成交人须提交合同价款的3%作为维保金，维保期满后凭相关资料一次退还。</w:t>
            </w:r>
          </w:p>
        </w:tc>
      </w:tr>
      <w:tr w:rsidR="00DE1007" w:rsidTr="00DE1007">
        <w:trPr>
          <w:cantSplit/>
          <w:trHeight w:val="412"/>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DE1007" w:rsidRDefault="00DE1007">
            <w:pPr>
              <w:jc w:val="center"/>
              <w:rPr>
                <w:rFonts w:ascii="仿宋" w:eastAsia="仿宋" w:hAnsi="仿宋"/>
              </w:rPr>
            </w:pPr>
            <w:r>
              <w:rPr>
                <w:rFonts w:ascii="仿宋" w:eastAsia="仿宋" w:hAnsi="仿宋" w:hint="eastAsia"/>
              </w:rPr>
              <w:t>2</w:t>
            </w:r>
          </w:p>
        </w:tc>
        <w:tc>
          <w:tcPr>
            <w:tcW w:w="2296" w:type="dxa"/>
            <w:tcBorders>
              <w:top w:val="single" w:sz="4" w:space="0" w:color="auto"/>
              <w:left w:val="nil"/>
              <w:bottom w:val="single" w:sz="4" w:space="0" w:color="auto"/>
              <w:right w:val="single" w:sz="4" w:space="0" w:color="auto"/>
            </w:tcBorders>
            <w:vAlign w:val="center"/>
            <w:hideMark/>
          </w:tcPr>
          <w:p w:rsidR="00DE1007" w:rsidRDefault="00DE1007">
            <w:pPr>
              <w:jc w:val="left"/>
              <w:rPr>
                <w:rFonts w:ascii="仿宋" w:eastAsia="仿宋" w:hAnsi="仿宋"/>
              </w:rPr>
            </w:pPr>
            <w:r>
              <w:rPr>
                <w:rFonts w:ascii="仿宋" w:eastAsia="仿宋" w:hAnsi="仿宋" w:hint="eastAsia"/>
              </w:rPr>
              <w:t>供货及安装地点</w:t>
            </w:r>
          </w:p>
        </w:tc>
        <w:tc>
          <w:tcPr>
            <w:tcW w:w="5631" w:type="dxa"/>
            <w:tcBorders>
              <w:top w:val="single" w:sz="4" w:space="0" w:color="auto"/>
              <w:left w:val="nil"/>
              <w:bottom w:val="single" w:sz="4" w:space="0" w:color="auto"/>
              <w:right w:val="single" w:sz="4" w:space="0" w:color="auto"/>
            </w:tcBorders>
            <w:vAlign w:val="center"/>
            <w:hideMark/>
          </w:tcPr>
          <w:p w:rsidR="00DE1007" w:rsidRDefault="00DE1007">
            <w:pPr>
              <w:jc w:val="left"/>
              <w:rPr>
                <w:rFonts w:ascii="仿宋" w:eastAsia="仿宋" w:hAnsi="仿宋"/>
              </w:rPr>
            </w:pPr>
            <w:r>
              <w:rPr>
                <w:rFonts w:ascii="仿宋" w:eastAsia="仿宋" w:hAnsi="仿宋" w:hint="eastAsia"/>
              </w:rPr>
              <w:t>岳西县医院（采购人指定地点）</w:t>
            </w:r>
          </w:p>
        </w:tc>
      </w:tr>
      <w:tr w:rsidR="00DE1007" w:rsidTr="00DE1007">
        <w:trPr>
          <w:cantSplit/>
          <w:trHeight w:val="421"/>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DE1007" w:rsidRDefault="00DE1007">
            <w:pPr>
              <w:jc w:val="center"/>
              <w:rPr>
                <w:rFonts w:ascii="仿宋" w:eastAsia="仿宋" w:hAnsi="仿宋"/>
              </w:rPr>
            </w:pPr>
            <w:r>
              <w:rPr>
                <w:rFonts w:ascii="仿宋" w:eastAsia="仿宋" w:hAnsi="仿宋" w:hint="eastAsia"/>
              </w:rPr>
              <w:t>3</w:t>
            </w:r>
          </w:p>
        </w:tc>
        <w:tc>
          <w:tcPr>
            <w:tcW w:w="2296" w:type="dxa"/>
            <w:tcBorders>
              <w:top w:val="single" w:sz="4" w:space="0" w:color="auto"/>
              <w:left w:val="nil"/>
              <w:bottom w:val="single" w:sz="4" w:space="0" w:color="auto"/>
              <w:right w:val="single" w:sz="4" w:space="0" w:color="auto"/>
            </w:tcBorders>
            <w:vAlign w:val="center"/>
            <w:hideMark/>
          </w:tcPr>
          <w:p w:rsidR="00DE1007" w:rsidRDefault="00DE1007">
            <w:pPr>
              <w:jc w:val="left"/>
              <w:rPr>
                <w:rFonts w:ascii="仿宋" w:eastAsia="仿宋" w:hAnsi="仿宋"/>
              </w:rPr>
            </w:pPr>
            <w:r>
              <w:rPr>
                <w:rFonts w:ascii="仿宋" w:eastAsia="仿宋" w:hAnsi="仿宋" w:hint="eastAsia"/>
              </w:rPr>
              <w:t>供货及安装期限</w:t>
            </w:r>
          </w:p>
        </w:tc>
        <w:tc>
          <w:tcPr>
            <w:tcW w:w="5631" w:type="dxa"/>
            <w:tcBorders>
              <w:top w:val="single" w:sz="4" w:space="0" w:color="auto"/>
              <w:left w:val="nil"/>
              <w:bottom w:val="single" w:sz="4" w:space="0" w:color="auto"/>
              <w:right w:val="single" w:sz="4" w:space="0" w:color="auto"/>
            </w:tcBorders>
            <w:vAlign w:val="center"/>
            <w:hideMark/>
          </w:tcPr>
          <w:p w:rsidR="00DE1007" w:rsidRDefault="00DE1007">
            <w:pPr>
              <w:jc w:val="left"/>
              <w:rPr>
                <w:rFonts w:ascii="仿宋" w:eastAsia="仿宋" w:hAnsi="仿宋"/>
              </w:rPr>
            </w:pPr>
            <w:r>
              <w:rPr>
                <w:rFonts w:ascii="仿宋" w:eastAsia="仿宋" w:hAnsi="仿宋" w:hint="eastAsia"/>
              </w:rPr>
              <w:t>20日历天内安装完成并验收合格</w:t>
            </w:r>
          </w:p>
        </w:tc>
      </w:tr>
    </w:tbl>
    <w:p w:rsidR="00DE1007" w:rsidRDefault="00DE1007" w:rsidP="00DE1007">
      <w:pPr>
        <w:ind w:firstLineChars="200" w:firstLine="482"/>
        <w:rPr>
          <w:rFonts w:ascii="仿宋" w:eastAsia="仿宋" w:hAnsi="仿宋" w:hint="eastAsia"/>
          <w:b/>
          <w:bCs/>
          <w:sz w:val="24"/>
          <w:szCs w:val="24"/>
        </w:rPr>
      </w:pPr>
      <w:r>
        <w:rPr>
          <w:rFonts w:ascii="仿宋" w:eastAsia="仿宋" w:hAnsi="仿宋" w:hint="eastAsia"/>
          <w:b/>
          <w:bCs/>
          <w:sz w:val="24"/>
          <w:szCs w:val="24"/>
        </w:rPr>
        <w:t xml:space="preserve"> </w:t>
      </w:r>
    </w:p>
    <w:p w:rsidR="00DE1007" w:rsidRDefault="00DE1007" w:rsidP="00DE1007">
      <w:pPr>
        <w:keepNext/>
        <w:keepLines/>
        <w:numPr>
          <w:ilvl w:val="0"/>
          <w:numId w:val="1"/>
        </w:numPr>
        <w:autoSpaceDE w:val="0"/>
        <w:autoSpaceDN w:val="0"/>
        <w:adjustRightInd w:val="0"/>
        <w:spacing w:line="400" w:lineRule="exact"/>
        <w:ind w:firstLineChars="196" w:firstLine="472"/>
        <w:jc w:val="left"/>
        <w:outlineLvl w:val="2"/>
        <w:rPr>
          <w:rFonts w:ascii="仿宋" w:eastAsia="仿宋" w:hAnsi="仿宋" w:hint="eastAsia"/>
          <w:b/>
          <w:bCs/>
          <w:kern w:val="0"/>
          <w:sz w:val="24"/>
          <w:szCs w:val="24"/>
        </w:rPr>
      </w:pPr>
      <w:r>
        <w:rPr>
          <w:rFonts w:ascii="仿宋" w:eastAsia="仿宋" w:hAnsi="仿宋" w:hint="eastAsia"/>
          <w:b/>
          <w:bCs/>
          <w:kern w:val="0"/>
          <w:sz w:val="24"/>
          <w:szCs w:val="24"/>
        </w:rPr>
        <w:t>技术要求一览表</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5"/>
        <w:gridCol w:w="7562"/>
      </w:tblGrid>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b/>
                <w:bCs/>
                <w:kern w:val="0"/>
              </w:rPr>
            </w:pPr>
            <w:r>
              <w:rPr>
                <w:rFonts w:ascii="仿宋" w:eastAsia="仿宋" w:hAnsi="仿宋" w:hint="eastAsia"/>
                <w:b/>
                <w:bCs/>
                <w:kern w:val="0"/>
              </w:rPr>
              <w:t>1</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b/>
                <w:bCs/>
                <w:kern w:val="0"/>
              </w:rPr>
            </w:pPr>
            <w:r>
              <w:rPr>
                <w:rFonts w:ascii="仿宋" w:eastAsia="仿宋" w:hAnsi="仿宋" w:hint="eastAsia"/>
                <w:b/>
                <w:bCs/>
                <w:kern w:val="0"/>
              </w:rPr>
              <w:t>动态心电记录仪（5台）技术参数</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1.1</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导联方式：标准10电极12导联，真实准确采集12导心电数据。支持标准12导联/3导联切换，可通过更换导联线进行心电数据采集。</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b/>
                <w:bCs/>
                <w:kern w:val="0"/>
              </w:rPr>
              <w:t>★</w:t>
            </w:r>
            <w:r>
              <w:rPr>
                <w:rFonts w:ascii="仿宋" w:eastAsia="仿宋" w:hAnsi="仿宋" w:hint="eastAsia"/>
                <w:kern w:val="0"/>
              </w:rPr>
              <w:t>1.2</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 xml:space="preserve">使用单节且尺寸不大于7号（AAA）的电池供电。1节7号碱性电池供电，中途不换电池，可连续记录12导联3天，3导联7天。 </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★1.3</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记录盒具有两个指示灯可分别监视电池，SD卡以及导联情况。内置LCD液晶屏和实时时钟，记录起止时间准确，可查看数据采集模式，任意导联心电波形，任意导联连接状态确保电极安放成功；可以查看数据采集完成进度；可以监控电池用量；能显示起博钉标识。</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1.4</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采样率：不小于4000Hz（正常），不小于10000Hz（开启起搏）。</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★1.5</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共模抑制比≥120dB，高抗干扰能力。多通道采集起搏器信号，内置起搏器检测电路可自动检测起搏器。能采集最小脉宽0.1ms，最小幅值1mv的起搏脉冲信号。</w:t>
            </w:r>
            <w:r>
              <w:rPr>
                <w:rFonts w:ascii="仿宋" w:eastAsia="仿宋" w:hAnsi="仿宋" w:hint="eastAsia"/>
                <w:kern w:val="0"/>
              </w:rPr>
              <w:lastRenderedPageBreak/>
              <w:t>（需提供检测报告）</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lastRenderedPageBreak/>
              <w:t>1.6</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存储类型为SD存储卡，容量不小于4G。</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1.7</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电量不足监测以及导联线脱落监测、报警。</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1.8</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内置USB读卡器，可通过USB数据线直接读取心电数据。</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★1.9</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记录盒不多于两功能键，避免患者误操作。</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1.10</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导联连接正常时，记录盒可自动开始记录。</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b/>
                <w:bCs/>
                <w:kern w:val="0"/>
              </w:rPr>
            </w:pPr>
            <w:r>
              <w:rPr>
                <w:rFonts w:ascii="仿宋" w:eastAsia="仿宋" w:hAnsi="仿宋" w:hint="eastAsia"/>
                <w:b/>
                <w:bCs/>
                <w:kern w:val="0"/>
              </w:rPr>
              <w:t>2</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b/>
                <w:bCs/>
                <w:kern w:val="0"/>
              </w:rPr>
            </w:pPr>
            <w:r>
              <w:rPr>
                <w:rFonts w:ascii="仿宋" w:eastAsia="仿宋" w:hAnsi="仿宋" w:hint="eastAsia"/>
                <w:b/>
                <w:bCs/>
                <w:kern w:val="0"/>
              </w:rPr>
              <w:t>动态心电分析软件（1套）技术参数</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2.1</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具有精确的智能化算法，可根据数据特征自动调整分析策略，实现房早、室早等心率失常的智能化分析。</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2.2</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具有全程自动跟踪编辑功能（自动修正伪差心搏后房早、自动移除房颤事件中房早、自动调整最快最慢心率位置）</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2.3</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自动分析精确度高，不低于99.9%。具有房颤全自动分析，准确度不低于98%。不少于87种直方图分析: 包括R-R间期、N-N间期、N-V间期、N-S间期、N-J间期、R-S间期、S-S间期、S-N间期、S-R间期、R-V间期、V-V间期、V-N间期、V-R间期、起搏到起搏、起搏到原发、原发到起搏、RR间期比、心率直方图在内的80余种直方图。</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2.4</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具备3导/12导同步ST段动态扫描分析功能，自动生成ST段事件统计。</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★2.5</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分析软件同时兼容单导、3导、12导联及二合一记录盒，均可在同一界面下分析，能采用多通道同步分析方式。（需提供软件截图）</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2.6</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心率变异性(HRV)分析：HRV频域、时域自动分析，可对全程、夜间及每小时的心搏进行HRV时域分析，并可自定义时间段进行分析。</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2.7</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 xml:space="preserve">房颤、房扑全自动分析：具有全程心电数据的RR间期时间散点图技术，一键自动分析房颤房扑，可准确定位房颤发生时间、持续时间和房颤段平均心率，房颤事件列表显示。 </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2.8</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提供同屏显示24小时、一小时时间散点图、以及对应的心电图条图、逐步定位具体心搏，列出具体房颤、房扑事件发生时间，时长等准确信息。</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2.9</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具有1小时Poincare散点图技术及24小时Poincare散点图。Poincare散点图可以彩色显示不同心律失常。Poincare散点图可以逆向选择，从散点图中任意框选出心电波形。</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2.10</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具有独立的起搏器自动分析工具，并以直方图加条图的方式显示，自动区分包括房性单腔、室性单腔、双腔、未分类等起搏钉类型，可手动标记感知过度、感知失败。</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2.11</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可配QT间期（QTｄ）自动分析功能，QT间期分析：可选测分析通道，可随时调整测量点，且包括QT离散度、QT散点图、QT直方图、QT趋势图等多个分析工具。</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2.12</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数据库管理功能：可根据病人姓名、ID号、性别、记录时间、分析医生、诊断信息对记录进行查找和浏览，数据库中显示字段可自定义；病人记录可以进行备份、导入和删除操作。</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★2.13</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软件支持动态心电报告合并功能，可自动筛选同一姓名同一编号的病人合并动态</w:t>
            </w:r>
            <w:r>
              <w:rPr>
                <w:rFonts w:ascii="仿宋" w:eastAsia="仿宋" w:hAnsi="仿宋" w:hint="eastAsia"/>
                <w:kern w:val="0"/>
              </w:rPr>
              <w:lastRenderedPageBreak/>
              <w:t>心电报告。（需提供软件截图）</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lastRenderedPageBreak/>
              <w:t>2.14</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具有心搏模板叠加功能以及叠加后的编辑修改功能，通过模板内心搏叠加，可将形态不同的心搏进行快速区分、抽离、编辑、保存、打印。</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2.15</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房早未下传次数统计功能:可独立统计房早未下传发生的次数,而且不影响长间歇或停搏的统计。</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2.16</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增强的报告结论模板工具:可根据用户需求定制不同的个性化的报告结论模板,可自动提取当前病例数百项统计结果信息自动生成报告结论,结论模板支持参数替换和逻辑判断功能</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2.17</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配置心率震荡（HRT）自动分析功能；配置T波电交替（TWA）自动分析功能；配置QT间期自动分析功能；配置心电向量图（VCG）自动分析功能；配置心室晚电位（VLP）自动分析功能；配置睡眠窒息（SAP）自动分析功能。</w:t>
            </w:r>
          </w:p>
        </w:tc>
      </w:tr>
      <w:tr w:rsidR="00DE1007" w:rsidTr="00DE1007">
        <w:trPr>
          <w:trHeight w:val="307"/>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★2.18</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rPr>
              <w:t>支持超快心率检测，可检测≥400次/分的心率。</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2.19</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危急值预警功能:可根据需求设置危急值检测阈值参数,支持采集数据完成后自动提示危急值信息并使用特殊醒目的颜色标记符合危急值条件的病例。</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2.20</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支持安全读卡器功能:可使用定制的安全读卡器采集记录卡数据,以避免因使用普通读卡器导致的病毒感染和SD卡损坏等问题,可在禁用U盘读写的计算机上使用。</w:t>
            </w:r>
          </w:p>
        </w:tc>
      </w:tr>
      <w:tr w:rsidR="00DE1007" w:rsidTr="00DE1007">
        <w:trPr>
          <w:trHeight w:val="278"/>
          <w:jc w:val="center"/>
        </w:trPr>
        <w:tc>
          <w:tcPr>
            <w:tcW w:w="1315" w:type="dxa"/>
            <w:tcBorders>
              <w:top w:val="single" w:sz="4" w:space="0" w:color="auto"/>
              <w:left w:val="single" w:sz="4" w:space="0" w:color="auto"/>
              <w:bottom w:val="single" w:sz="4" w:space="0" w:color="auto"/>
              <w:right w:val="single" w:sz="4" w:space="0" w:color="auto"/>
            </w:tcBorders>
            <w:vAlign w:val="center"/>
            <w:hideMark/>
          </w:tcPr>
          <w:p w:rsidR="00DE1007" w:rsidRDefault="00DE1007">
            <w:pPr>
              <w:spacing w:line="360" w:lineRule="exact"/>
              <w:jc w:val="center"/>
              <w:rPr>
                <w:rFonts w:ascii="仿宋" w:eastAsia="仿宋" w:hAnsi="仿宋"/>
                <w:kern w:val="0"/>
              </w:rPr>
            </w:pPr>
            <w:r>
              <w:rPr>
                <w:rFonts w:ascii="仿宋" w:eastAsia="仿宋" w:hAnsi="仿宋" w:hint="eastAsia"/>
                <w:kern w:val="0"/>
              </w:rPr>
              <w:t>2.21</w:t>
            </w:r>
          </w:p>
        </w:tc>
        <w:tc>
          <w:tcPr>
            <w:tcW w:w="7562" w:type="dxa"/>
            <w:tcBorders>
              <w:top w:val="single" w:sz="4" w:space="0" w:color="auto"/>
              <w:left w:val="nil"/>
              <w:bottom w:val="single" w:sz="4" w:space="0" w:color="auto"/>
              <w:right w:val="single" w:sz="4" w:space="0" w:color="auto"/>
            </w:tcBorders>
            <w:vAlign w:val="center"/>
            <w:hideMark/>
          </w:tcPr>
          <w:p w:rsidR="00DE1007" w:rsidRDefault="00DE1007">
            <w:pPr>
              <w:spacing w:line="360" w:lineRule="exact"/>
              <w:rPr>
                <w:rFonts w:ascii="仿宋" w:eastAsia="仿宋" w:hAnsi="仿宋"/>
                <w:kern w:val="0"/>
              </w:rPr>
            </w:pPr>
            <w:r>
              <w:rPr>
                <w:rFonts w:ascii="仿宋" w:eastAsia="仿宋" w:hAnsi="仿宋" w:hint="eastAsia"/>
                <w:kern w:val="0"/>
              </w:rPr>
              <w:t>软件定时自动备份，防止电脑突发断电等情况导致病例分析结果丢失。</w:t>
            </w:r>
          </w:p>
        </w:tc>
      </w:tr>
    </w:tbl>
    <w:p w:rsidR="00DE1007" w:rsidRDefault="00DE1007" w:rsidP="00DE1007">
      <w:pPr>
        <w:pStyle w:val="3"/>
        <w:spacing w:line="560" w:lineRule="exact"/>
        <w:ind w:firstLineChars="196" w:firstLine="472"/>
        <w:rPr>
          <w:rFonts w:ascii="仿宋" w:eastAsia="仿宋" w:hAnsi="仿宋" w:hint="eastAsia"/>
        </w:rPr>
      </w:pPr>
      <w:r>
        <w:rPr>
          <w:rFonts w:ascii="仿宋" w:eastAsia="仿宋" w:hAnsi="仿宋" w:hint="eastAsia"/>
        </w:rPr>
        <w:t>注：带★号项为关键参数要求（如有）。</w:t>
      </w:r>
    </w:p>
    <w:p w:rsidR="00DE1007" w:rsidRDefault="00DE1007" w:rsidP="00DE1007">
      <w:pPr>
        <w:pStyle w:val="3"/>
        <w:spacing w:line="560" w:lineRule="exact"/>
        <w:ind w:firstLineChars="196" w:firstLine="472"/>
        <w:rPr>
          <w:rFonts w:ascii="仿宋" w:eastAsia="仿宋" w:hAnsi="仿宋" w:hint="eastAsia"/>
        </w:rPr>
      </w:pPr>
      <w:r>
        <w:rPr>
          <w:rFonts w:ascii="仿宋" w:eastAsia="仿宋" w:hAnsi="仿宋" w:hint="eastAsia"/>
        </w:rPr>
        <w:t>三、人员培训要求</w:t>
      </w:r>
    </w:p>
    <w:p w:rsidR="00DE1007" w:rsidRDefault="00DE1007" w:rsidP="00DE1007">
      <w:pPr>
        <w:widowControl/>
        <w:spacing w:line="560" w:lineRule="exact"/>
        <w:jc w:val="left"/>
        <w:rPr>
          <w:rFonts w:ascii="仿宋" w:eastAsia="仿宋" w:hAnsi="仿宋" w:hint="eastAsia"/>
          <w:sz w:val="24"/>
          <w:szCs w:val="24"/>
        </w:rPr>
      </w:pPr>
      <w:r>
        <w:rPr>
          <w:rFonts w:ascii="仿宋" w:eastAsia="仿宋" w:hAnsi="仿宋" w:hint="eastAsia"/>
          <w:sz w:val="24"/>
          <w:szCs w:val="24"/>
        </w:rPr>
        <w:t xml:space="preserve">    货物安装、调试、验收合格后，中标人应对采购人的相关人员进行免费现场培训。培训内容包括基本操作、保养维修、常见故障及解决办法等。</w:t>
      </w:r>
    </w:p>
    <w:p w:rsidR="00DE1007" w:rsidRDefault="00DE1007" w:rsidP="00DE1007">
      <w:pPr>
        <w:pStyle w:val="3"/>
        <w:spacing w:line="560" w:lineRule="exact"/>
        <w:ind w:firstLineChars="196" w:firstLine="472"/>
        <w:rPr>
          <w:rFonts w:ascii="仿宋" w:eastAsia="仿宋" w:hAnsi="仿宋" w:hint="eastAsia"/>
        </w:rPr>
      </w:pPr>
      <w:r>
        <w:rPr>
          <w:rFonts w:ascii="仿宋" w:eastAsia="仿宋" w:hAnsi="仿宋" w:hint="eastAsia"/>
        </w:rPr>
        <w:t>四、货物质量及售后服务要求</w:t>
      </w:r>
    </w:p>
    <w:p w:rsidR="00DE1007" w:rsidRDefault="00DE1007" w:rsidP="00DE1007">
      <w:pPr>
        <w:widowControl/>
        <w:spacing w:line="560" w:lineRule="exact"/>
        <w:jc w:val="left"/>
        <w:rPr>
          <w:rFonts w:ascii="仿宋" w:eastAsia="仿宋" w:hAnsi="仿宋" w:hint="eastAsia"/>
          <w:sz w:val="24"/>
          <w:szCs w:val="24"/>
        </w:rPr>
      </w:pPr>
      <w:r>
        <w:rPr>
          <w:rFonts w:ascii="仿宋" w:eastAsia="仿宋" w:hAnsi="仿宋" w:hint="eastAsia"/>
          <w:sz w:val="24"/>
          <w:szCs w:val="24"/>
        </w:rPr>
        <w:t xml:space="preserve">    1、货物质量：中标人提供的货物必须是全新、原装、合格正品，完全符合国家规定的质量标准和厂方的标准。货物完好，配件齐全。</w:t>
      </w:r>
    </w:p>
    <w:p w:rsidR="00DE1007" w:rsidRDefault="00DE1007" w:rsidP="00DE1007">
      <w:pPr>
        <w:widowControl/>
        <w:spacing w:line="560" w:lineRule="exact"/>
        <w:ind w:firstLine="420"/>
        <w:jc w:val="left"/>
        <w:rPr>
          <w:rFonts w:ascii="仿宋" w:eastAsia="仿宋" w:hAnsi="仿宋" w:hint="eastAsia"/>
          <w:sz w:val="24"/>
          <w:szCs w:val="24"/>
        </w:rPr>
      </w:pPr>
      <w:r>
        <w:rPr>
          <w:rFonts w:ascii="仿宋" w:eastAsia="仿宋" w:hAnsi="仿宋" w:hint="eastAsia"/>
          <w:sz w:val="24"/>
          <w:szCs w:val="24"/>
        </w:rPr>
        <w:t>2、保修及售后服务：依据商品的保修条款及售后服务条款，提供原厂质保，质保期按照国家规定，且不低于1年。质保期从货物验收合格后算起。</w:t>
      </w:r>
    </w:p>
    <w:p w:rsidR="00DE1007" w:rsidRDefault="00DE1007" w:rsidP="00DE1007">
      <w:pPr>
        <w:pStyle w:val="3"/>
        <w:spacing w:line="560" w:lineRule="exact"/>
        <w:ind w:firstLineChars="196" w:firstLine="472"/>
        <w:rPr>
          <w:rFonts w:ascii="仿宋" w:eastAsia="仿宋" w:hAnsi="仿宋" w:hint="eastAsia"/>
        </w:rPr>
      </w:pPr>
      <w:r>
        <w:rPr>
          <w:rFonts w:ascii="仿宋" w:eastAsia="仿宋" w:hAnsi="仿宋" w:hint="eastAsia"/>
        </w:rPr>
        <w:t>五、验收</w:t>
      </w:r>
    </w:p>
    <w:p w:rsidR="00DE1007" w:rsidRDefault="00DE1007" w:rsidP="00DE1007">
      <w:pPr>
        <w:widowControl/>
        <w:spacing w:line="560" w:lineRule="exact"/>
        <w:ind w:firstLine="480"/>
        <w:jc w:val="left"/>
        <w:rPr>
          <w:rFonts w:ascii="仿宋" w:eastAsia="仿宋" w:hAnsi="仿宋" w:hint="eastAsia"/>
          <w:sz w:val="24"/>
          <w:szCs w:val="24"/>
        </w:rPr>
      </w:pPr>
      <w:r>
        <w:rPr>
          <w:rFonts w:ascii="仿宋" w:eastAsia="仿宋" w:hAnsi="仿宋" w:hint="eastAsia"/>
          <w:sz w:val="24"/>
          <w:szCs w:val="24"/>
        </w:rPr>
        <w:t>中标人和采购人双方共同实施验收工作，结果和验收报告经双方确认后生效。</w:t>
      </w:r>
    </w:p>
    <w:p w:rsidR="00DE1007" w:rsidRDefault="00DE1007" w:rsidP="00DE1007">
      <w:pPr>
        <w:spacing w:line="360" w:lineRule="auto"/>
        <w:rPr>
          <w:rFonts w:ascii="仿宋" w:eastAsia="仿宋" w:hAnsi="仿宋" w:hint="eastAsia"/>
        </w:rPr>
      </w:pPr>
      <w:r>
        <w:rPr>
          <w:rFonts w:ascii="仿宋" w:eastAsia="仿宋" w:hAnsi="仿宋" w:hint="eastAsia"/>
        </w:rPr>
        <w:t xml:space="preserve"> </w:t>
      </w:r>
    </w:p>
    <w:p w:rsidR="00CE4AD6" w:rsidRPr="00DE1007" w:rsidRDefault="00CE4AD6"/>
    <w:sectPr w:rsidR="00CE4AD6" w:rsidRPr="00DE1007" w:rsidSect="00CE4A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070E5"/>
    <w:multiLevelType w:val="multilevel"/>
    <w:tmpl w:val="FDFC479A"/>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007"/>
    <w:rsid w:val="00CE4AD6"/>
    <w:rsid w:val="00DE10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E1007"/>
    <w:pPr>
      <w:widowControl w:val="0"/>
      <w:jc w:val="both"/>
    </w:pPr>
    <w:rPr>
      <w:rFonts w:ascii="Times New Roman" w:eastAsia="宋体" w:hAnsi="Times New Roman" w:cs="Times New Roman"/>
      <w:szCs w:val="21"/>
    </w:rPr>
  </w:style>
  <w:style w:type="paragraph" w:styleId="3">
    <w:name w:val="heading 3"/>
    <w:basedOn w:val="a"/>
    <w:next w:val="a"/>
    <w:link w:val="3Char"/>
    <w:uiPriority w:val="99"/>
    <w:qFormat/>
    <w:rsid w:val="00DE1007"/>
    <w:pPr>
      <w:keepNext/>
      <w:keepLines/>
      <w:wordWrap w:val="0"/>
      <w:autoSpaceDE w:val="0"/>
      <w:autoSpaceDN w:val="0"/>
      <w:adjustRightInd w:val="0"/>
      <w:spacing w:line="440" w:lineRule="exact"/>
      <w:jc w:val="left"/>
      <w:outlineLvl w:val="2"/>
    </w:pPr>
    <w:rPr>
      <w:rFonts w:ascii="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DE1007"/>
    <w:rPr>
      <w:rFonts w:ascii="宋体" w:eastAsia="宋体" w:hAnsi="Times New Roman" w:cs="Times New Roman"/>
      <w:b/>
      <w:bCs/>
      <w:kern w:val="0"/>
      <w:sz w:val="24"/>
      <w:szCs w:val="24"/>
    </w:rPr>
  </w:style>
</w:styles>
</file>

<file path=word/webSettings.xml><?xml version="1.0" encoding="utf-8"?>
<w:webSettings xmlns:r="http://schemas.openxmlformats.org/officeDocument/2006/relationships" xmlns:w="http://schemas.openxmlformats.org/wordprocessingml/2006/main">
  <w:divs>
    <w:div w:id="7686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2503</Characters>
  <Application>Microsoft Office Word</Application>
  <DocSecurity>0</DocSecurity>
  <Lines>20</Lines>
  <Paragraphs>5</Paragraphs>
  <ScaleCrop>false</ScaleCrop>
  <Company>微软中国</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收发员</dc:creator>
  <cp:lastModifiedBy>收发员</cp:lastModifiedBy>
  <cp:revision>1</cp:revision>
  <dcterms:created xsi:type="dcterms:W3CDTF">2024-08-06T02:47:00Z</dcterms:created>
  <dcterms:modified xsi:type="dcterms:W3CDTF">2024-08-06T02:47:00Z</dcterms:modified>
</cp:coreProperties>
</file>