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A9" w:rsidRDefault="00516CA9" w:rsidP="00516CA9">
      <w:pPr>
        <w:widowControl/>
        <w:spacing w:line="42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附件：项目采购需求文件</w:t>
      </w:r>
    </w:p>
    <w:p w:rsidR="00516CA9" w:rsidRDefault="00516CA9" w:rsidP="00516CA9">
      <w:pPr>
        <w:widowControl/>
        <w:spacing w:line="500" w:lineRule="exact"/>
        <w:ind w:firstLine="43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技术要求和规格</w:t>
      </w:r>
    </w:p>
    <w:p w:rsidR="00516CA9" w:rsidRDefault="00516CA9" w:rsidP="00516CA9">
      <w:pPr>
        <w:widowControl/>
        <w:spacing w:line="500" w:lineRule="exact"/>
        <w:ind w:firstLine="430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 w:rsidR="00516CA9" w:rsidRDefault="00516CA9" w:rsidP="00516CA9">
      <w:pPr>
        <w:widowControl/>
        <w:spacing w:line="360" w:lineRule="auto"/>
        <w:ind w:firstLine="405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单一产品采购时，提供相同品牌产品且通过资格审查、符合性审查的不同投标人参加同一合同项下投标的，按一家投标人计算，评审后得分最高的同品牌投标人获得中标人推荐资格；评审得分相同的，由采购人代表或采购人代表委托评标委员会采取随机抽取方式确定，其他投标无效。</w:t>
      </w:r>
    </w:p>
    <w:p w:rsidR="00516CA9" w:rsidRDefault="00516CA9" w:rsidP="00516CA9">
      <w:pPr>
        <w:widowControl/>
        <w:spacing w:line="500" w:lineRule="exact"/>
        <w:ind w:firstLine="405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非单一产品采购项目，提供的核心产品品牌相同的，按前款处理。核心产品由采购人根据采购项目技术构成、产品价格比重等合理确定，并载明在招标文件的货物需求及技术要求中，本次招标中所有产品品牌均对应相同的就视为核心产品品牌相同。</w:t>
      </w:r>
    </w:p>
    <w:p w:rsidR="00516CA9" w:rsidRDefault="00516CA9" w:rsidP="00516CA9">
      <w:pPr>
        <w:ind w:firstLineChars="200" w:firstLine="422"/>
        <w:rPr>
          <w:rFonts w:ascii="仿宋" w:eastAsia="仿宋" w:hAnsi="仿宋" w:cs="仿宋"/>
          <w:b/>
          <w:bCs/>
          <w:szCs w:val="21"/>
        </w:rPr>
      </w:pPr>
    </w:p>
    <w:p w:rsidR="00516CA9" w:rsidRDefault="00516CA9" w:rsidP="00516CA9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一、商务要求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2081"/>
        <w:gridCol w:w="4688"/>
      </w:tblGrid>
      <w:tr w:rsidR="00516CA9" w:rsidTr="00100142">
        <w:trPr>
          <w:cantSplit/>
          <w:trHeight w:val="509"/>
          <w:jc w:val="center"/>
        </w:trPr>
        <w:tc>
          <w:tcPr>
            <w:tcW w:w="788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4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商务条款名称</w:t>
            </w:r>
          </w:p>
        </w:tc>
        <w:tc>
          <w:tcPr>
            <w:tcW w:w="2916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具体要求内容</w:t>
            </w:r>
          </w:p>
        </w:tc>
      </w:tr>
      <w:tr w:rsidR="00516CA9" w:rsidTr="00100142">
        <w:trPr>
          <w:cantSplit/>
          <w:trHeight w:val="454"/>
          <w:jc w:val="center"/>
        </w:trPr>
        <w:tc>
          <w:tcPr>
            <w:tcW w:w="788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94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付款方式</w:t>
            </w:r>
          </w:p>
        </w:tc>
        <w:tc>
          <w:tcPr>
            <w:tcW w:w="2916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安装验收合格后7个工作日内付合同价款的97％，余款质保期满后（自验收合格起计）15日内无任何质量问题一次付清。</w:t>
            </w:r>
          </w:p>
        </w:tc>
      </w:tr>
      <w:tr w:rsidR="00516CA9" w:rsidTr="00100142">
        <w:trPr>
          <w:cantSplit/>
          <w:trHeight w:val="454"/>
          <w:jc w:val="center"/>
        </w:trPr>
        <w:tc>
          <w:tcPr>
            <w:tcW w:w="788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294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供货及安装地点</w:t>
            </w:r>
          </w:p>
        </w:tc>
        <w:tc>
          <w:tcPr>
            <w:tcW w:w="2916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岳西县医院（招标人指定地点）</w:t>
            </w:r>
          </w:p>
        </w:tc>
      </w:tr>
      <w:tr w:rsidR="00516CA9" w:rsidTr="00100142">
        <w:trPr>
          <w:cantSplit/>
          <w:trHeight w:val="454"/>
          <w:jc w:val="center"/>
        </w:trPr>
        <w:tc>
          <w:tcPr>
            <w:tcW w:w="788" w:type="pct"/>
            <w:vAlign w:val="center"/>
          </w:tcPr>
          <w:p w:rsidR="00516CA9" w:rsidRDefault="00516CA9" w:rsidP="0010014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294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供货及安装期限</w:t>
            </w:r>
          </w:p>
        </w:tc>
        <w:tc>
          <w:tcPr>
            <w:tcW w:w="2916" w:type="pct"/>
            <w:vAlign w:val="center"/>
          </w:tcPr>
          <w:p w:rsidR="00516CA9" w:rsidRDefault="00516CA9" w:rsidP="00100142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20日历天内安装完成并验收合格</w:t>
            </w:r>
          </w:p>
        </w:tc>
      </w:tr>
    </w:tbl>
    <w:p w:rsidR="00516CA9" w:rsidRDefault="00516CA9" w:rsidP="00516CA9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</w:p>
    <w:p w:rsidR="00516CA9" w:rsidRDefault="00516CA9" w:rsidP="00516CA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196" w:firstLine="472"/>
        <w:jc w:val="left"/>
        <w:outlineLvl w:val="2"/>
        <w:rPr>
          <w:rFonts w:ascii="仿宋" w:eastAsia="仿宋" w:hAnsi="仿宋" w:cs="仿宋"/>
          <w:b/>
          <w:bCs/>
          <w:kern w:val="0"/>
          <w:sz w:val="24"/>
        </w:rPr>
      </w:pPr>
      <w:bookmarkStart w:id="0" w:name="_Toc24745"/>
      <w:r>
        <w:rPr>
          <w:rFonts w:ascii="仿宋" w:eastAsia="仿宋" w:hAnsi="仿宋" w:cs="仿宋" w:hint="eastAsia"/>
          <w:b/>
          <w:bCs/>
          <w:kern w:val="0"/>
          <w:sz w:val="24"/>
        </w:rPr>
        <w:t>技术要求一览表</w:t>
      </w:r>
      <w:bookmarkEnd w:id="0"/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 xml:space="preserve">1、角膜内皮细胞拍摄  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★1.1对焦模式：全自动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★1.2拍照模式：全自动，左右眼自动切换。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1.3操作者方位：病人侧、对侧、旁侧（提供证明材料）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1.4放大倍率：≥254x (触控屏上显示)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1.5全景拍摄面积：≥0.65x0.55mm（提供证明材料）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1.6解析度：超过125线/mm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1.7固视标：≥15点，中央≥1点，近中央≥2点，周边≥13点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 xml:space="preserve">2、角膜内皮细胞分析  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2.1分析模式：全自动/手动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★2.2数据：CCT、N、MIN、MAX、AVG、CD、CV、HEX、SD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2.3图表：彩色细胞多形化和细胞面积变化柱状图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 xml:space="preserve">3、角膜厚度测量  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3.1测量范围：0.400-0.750mm(0.001mm步长)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lastRenderedPageBreak/>
        <w:t>3.2测量精度：≤0.01mm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★4、人体工程学设计：≥5°俯角机身设计，自动左右眼移动对焦。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5、主机显示器：≥10.4英寸，360°旋转触摸控制屏。（提供证明材料）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6、打印机：内置热敏打印机。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7、图像存储：每眼≥5幅图像。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8、可与TV监视器、视频打印机、IMAGEnet等连接，实现系统操作。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9、设备所配备的电脑系国际知名品牌，≥1G以上内存，≥160G以上硬盘，≥19寸以上液晶显示器。</w:t>
      </w:r>
    </w:p>
    <w:p w:rsidR="00516CA9" w:rsidRDefault="00516CA9" w:rsidP="00516CA9">
      <w:pPr>
        <w:jc w:val="lef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10、采用的内皮细胞分析软件,该软件可以提供详尽的内皮细胞层的数据和信息,能进行复杂的数据管理和图像传输功能。软件选定分析区域并给出高精度的内皮细胞层分析结果。</w:t>
      </w:r>
    </w:p>
    <w:p w:rsidR="00516CA9" w:rsidRDefault="00516CA9" w:rsidP="00516CA9">
      <w:pPr>
        <w:pStyle w:val="New"/>
        <w:spacing w:before="156" w:line="400" w:lineRule="exact"/>
        <w:ind w:left="0" w:firstLine="0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</w:rPr>
        <w:t>注：带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★</w:t>
      </w:r>
      <w:r>
        <w:rPr>
          <w:rFonts w:ascii="仿宋" w:eastAsia="仿宋" w:hAnsi="仿宋" w:cs="仿宋" w:hint="eastAsia"/>
          <w:b/>
        </w:rPr>
        <w:t>号项为关键参数要求（如有）。</w:t>
      </w:r>
    </w:p>
    <w:p w:rsidR="00516CA9" w:rsidRDefault="00516CA9" w:rsidP="00516CA9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-472" w:firstLine="472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1" w:name="_Toc4579"/>
      <w:bookmarkStart w:id="2" w:name="_Toc15427"/>
      <w:r>
        <w:rPr>
          <w:rFonts w:ascii="仿宋" w:eastAsia="仿宋" w:hAnsi="仿宋" w:cs="仿宋" w:hint="eastAsia"/>
          <w:b/>
          <w:kern w:val="0"/>
          <w:sz w:val="24"/>
        </w:rPr>
        <w:t>人员培训要求</w:t>
      </w:r>
      <w:bookmarkEnd w:id="1"/>
      <w:bookmarkEnd w:id="2"/>
    </w:p>
    <w:p w:rsidR="00516CA9" w:rsidRDefault="00516CA9" w:rsidP="00516CA9">
      <w:pPr>
        <w:widowControl/>
        <w:spacing w:line="560" w:lineRule="exact"/>
        <w:ind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货物安装、调试、验收合格后，中标人应对采购人的相关人员进行免费现场培训。培训内容包括基本操作、保养维修、常见故障及解决办法等。</w:t>
      </w:r>
    </w:p>
    <w:p w:rsidR="00516CA9" w:rsidRDefault="00516CA9" w:rsidP="00516CA9">
      <w:pPr>
        <w:shd w:val="clear" w:color="auto" w:fill="FFFFFF" w:themeFill="background1"/>
        <w:spacing w:line="500" w:lineRule="exact"/>
        <w:outlineLvl w:val="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</w:t>
      </w:r>
      <w:r>
        <w:rPr>
          <w:rFonts w:ascii="仿宋" w:eastAsia="仿宋" w:hAnsi="仿宋" w:cs="仿宋" w:hint="eastAsia"/>
          <w:b/>
          <w:bCs/>
          <w:sz w:val="24"/>
        </w:rPr>
        <w:t>报价要求</w:t>
      </w:r>
    </w:p>
    <w:p w:rsidR="00516CA9" w:rsidRDefault="00516CA9" w:rsidP="00516CA9">
      <w:pPr>
        <w:shd w:val="clear" w:color="auto" w:fill="FFFFFF" w:themeFill="background1"/>
        <w:spacing w:line="5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本项目报总价及分项报价。报价包含本项目需求的全部货物及所需附件购置费、配套设备、包装费、运输费、人工费、保险费、安装调试费（中标人应服从院方统一管理，规范施工，确保安全生产。如涉及墙面，电路，装修等改动产生的相关费用请综合考虑，包含在总报价中）、各种税费、资料费、售后服务费及完成项目应有的全部费用（</w:t>
      </w:r>
      <w:r>
        <w:rPr>
          <w:rFonts w:ascii="仿宋" w:eastAsia="仿宋" w:hAnsi="仿宋" w:cs="仿宋" w:hint="eastAsia"/>
          <w:bCs/>
          <w:sz w:val="24"/>
        </w:rPr>
        <w:t>除上述采购需求列明的货物需求外，如投标人所投产品须配套其他必要的货物方可正常使用的，投标人须为本项目配备，如与医院系统端口连接等，涉及开放接口的,采购人负责协调接口开放,费用包含在报价中），采购人后期不再追加任何费用，请投标人谨慎报价。</w:t>
      </w:r>
    </w:p>
    <w:p w:rsidR="00516CA9" w:rsidRDefault="00516CA9" w:rsidP="00516CA9">
      <w:pPr>
        <w:keepNext/>
        <w:keepLines/>
        <w:autoSpaceDE w:val="0"/>
        <w:autoSpaceDN w:val="0"/>
        <w:adjustRightInd w:val="0"/>
        <w:spacing w:line="560" w:lineRule="exact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3" w:name="_Toc21193"/>
      <w:bookmarkStart w:id="4" w:name="_Toc23557"/>
      <w:r>
        <w:rPr>
          <w:rFonts w:ascii="仿宋" w:eastAsia="仿宋" w:hAnsi="仿宋" w:cs="仿宋" w:hint="eastAsia"/>
          <w:b/>
          <w:kern w:val="0"/>
          <w:sz w:val="24"/>
        </w:rPr>
        <w:t>五、货物质量及售后服务要求</w:t>
      </w:r>
      <w:bookmarkEnd w:id="3"/>
      <w:bookmarkEnd w:id="4"/>
    </w:p>
    <w:p w:rsidR="00516CA9" w:rsidRDefault="00516CA9" w:rsidP="00516CA9">
      <w:pPr>
        <w:widowControl/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1、货物质量：中标人提供的货物必须是全新、原装、合格正品，完全符合国家规定的质量标准和厂方的标准。货物完好，配件齐全。</w:t>
      </w:r>
    </w:p>
    <w:p w:rsidR="00516CA9" w:rsidRDefault="00516CA9" w:rsidP="00516CA9">
      <w:pPr>
        <w:widowControl/>
        <w:spacing w:line="560" w:lineRule="exact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2、保修及售后服务：依据商品的保修条款及售后服务条款，提供原厂质保，质保期按照国家规定，且不低于1年。质保期从货物验收合格后算起。</w:t>
      </w:r>
    </w:p>
    <w:p w:rsidR="00516CA9" w:rsidRDefault="00516CA9" w:rsidP="00516CA9">
      <w:pPr>
        <w:keepNext/>
        <w:keepLines/>
        <w:autoSpaceDE w:val="0"/>
        <w:autoSpaceDN w:val="0"/>
        <w:adjustRightInd w:val="0"/>
        <w:spacing w:line="560" w:lineRule="exact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5" w:name="_Toc23093"/>
      <w:bookmarkStart w:id="6" w:name="_Toc7485"/>
      <w:r>
        <w:rPr>
          <w:rFonts w:ascii="仿宋" w:eastAsia="仿宋" w:hAnsi="仿宋" w:cs="仿宋" w:hint="eastAsia"/>
          <w:b/>
          <w:kern w:val="0"/>
          <w:sz w:val="24"/>
        </w:rPr>
        <w:lastRenderedPageBreak/>
        <w:t>六、验收</w:t>
      </w:r>
      <w:bookmarkEnd w:id="5"/>
      <w:bookmarkEnd w:id="6"/>
    </w:p>
    <w:p w:rsidR="00516CA9" w:rsidRDefault="00516CA9" w:rsidP="00516CA9">
      <w:pPr>
        <w:widowControl/>
        <w:spacing w:line="560" w:lineRule="exact"/>
        <w:ind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中标人和采购人双方共同实施验收工作，结果和验收报告经双方确认后生效。</w:t>
      </w:r>
    </w:p>
    <w:p w:rsidR="000D0C86" w:rsidRPr="00516CA9" w:rsidRDefault="000D0C86"/>
    <w:sectPr w:rsidR="000D0C86" w:rsidRPr="00516CA9" w:rsidSect="000D0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BC8377"/>
    <w:multiLevelType w:val="singleLevel"/>
    <w:tmpl w:val="A9BC83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9CA2BD"/>
    <w:multiLevelType w:val="singleLevel"/>
    <w:tmpl w:val="D99CA2B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CA9"/>
    <w:rsid w:val="00000875"/>
    <w:rsid w:val="000106C4"/>
    <w:rsid w:val="00010DEE"/>
    <w:rsid w:val="00022D3D"/>
    <w:rsid w:val="00023CFB"/>
    <w:rsid w:val="00026D98"/>
    <w:rsid w:val="00032203"/>
    <w:rsid w:val="00070225"/>
    <w:rsid w:val="00073120"/>
    <w:rsid w:val="00077009"/>
    <w:rsid w:val="0008464B"/>
    <w:rsid w:val="00095662"/>
    <w:rsid w:val="00097179"/>
    <w:rsid w:val="000A23B8"/>
    <w:rsid w:val="000A2597"/>
    <w:rsid w:val="000A389C"/>
    <w:rsid w:val="000A5DB2"/>
    <w:rsid w:val="000B046F"/>
    <w:rsid w:val="000B54AE"/>
    <w:rsid w:val="000B7526"/>
    <w:rsid w:val="000C09C6"/>
    <w:rsid w:val="000D0075"/>
    <w:rsid w:val="000D0C86"/>
    <w:rsid w:val="000D17A2"/>
    <w:rsid w:val="000D1E2F"/>
    <w:rsid w:val="000D506B"/>
    <w:rsid w:val="000D53F1"/>
    <w:rsid w:val="000E2CDD"/>
    <w:rsid w:val="000E44EE"/>
    <w:rsid w:val="000E5755"/>
    <w:rsid w:val="000F1125"/>
    <w:rsid w:val="000F6987"/>
    <w:rsid w:val="000F6EA6"/>
    <w:rsid w:val="000F7B7A"/>
    <w:rsid w:val="00106E04"/>
    <w:rsid w:val="0011375C"/>
    <w:rsid w:val="001158BE"/>
    <w:rsid w:val="00116DB7"/>
    <w:rsid w:val="001327BB"/>
    <w:rsid w:val="001327EB"/>
    <w:rsid w:val="00132DEE"/>
    <w:rsid w:val="001501A4"/>
    <w:rsid w:val="001516EF"/>
    <w:rsid w:val="00161EE3"/>
    <w:rsid w:val="001661DB"/>
    <w:rsid w:val="00173402"/>
    <w:rsid w:val="00175EEA"/>
    <w:rsid w:val="0018507F"/>
    <w:rsid w:val="00190BB3"/>
    <w:rsid w:val="001910E0"/>
    <w:rsid w:val="0019460E"/>
    <w:rsid w:val="001976C2"/>
    <w:rsid w:val="001A6BE7"/>
    <w:rsid w:val="001B110B"/>
    <w:rsid w:val="001B77E6"/>
    <w:rsid w:val="001C48D1"/>
    <w:rsid w:val="001C59AA"/>
    <w:rsid w:val="001D00B4"/>
    <w:rsid w:val="001D79E7"/>
    <w:rsid w:val="001E2937"/>
    <w:rsid w:val="001F0ED7"/>
    <w:rsid w:val="001F19FB"/>
    <w:rsid w:val="002009D9"/>
    <w:rsid w:val="0020483B"/>
    <w:rsid w:val="002048B7"/>
    <w:rsid w:val="00204D2D"/>
    <w:rsid w:val="00205603"/>
    <w:rsid w:val="00205F8E"/>
    <w:rsid w:val="00211E7E"/>
    <w:rsid w:val="002143C0"/>
    <w:rsid w:val="00215796"/>
    <w:rsid w:val="0022378C"/>
    <w:rsid w:val="0022463A"/>
    <w:rsid w:val="00224E2E"/>
    <w:rsid w:val="00230EF0"/>
    <w:rsid w:val="00231B5C"/>
    <w:rsid w:val="002456AA"/>
    <w:rsid w:val="00246AD6"/>
    <w:rsid w:val="00254350"/>
    <w:rsid w:val="0025492B"/>
    <w:rsid w:val="002669E3"/>
    <w:rsid w:val="0028198C"/>
    <w:rsid w:val="00282F82"/>
    <w:rsid w:val="00284EE0"/>
    <w:rsid w:val="00285DCA"/>
    <w:rsid w:val="002909EA"/>
    <w:rsid w:val="002A253B"/>
    <w:rsid w:val="002A33DA"/>
    <w:rsid w:val="002B0AD1"/>
    <w:rsid w:val="002B309A"/>
    <w:rsid w:val="002B3925"/>
    <w:rsid w:val="002B40A9"/>
    <w:rsid w:val="002D2996"/>
    <w:rsid w:val="002D33AE"/>
    <w:rsid w:val="002D5279"/>
    <w:rsid w:val="002D59BA"/>
    <w:rsid w:val="002D720E"/>
    <w:rsid w:val="002E03ED"/>
    <w:rsid w:val="002E44F8"/>
    <w:rsid w:val="002E709F"/>
    <w:rsid w:val="002F0B55"/>
    <w:rsid w:val="002F4B2E"/>
    <w:rsid w:val="002F7BD0"/>
    <w:rsid w:val="00300BEC"/>
    <w:rsid w:val="00300CA6"/>
    <w:rsid w:val="003034A5"/>
    <w:rsid w:val="0030513B"/>
    <w:rsid w:val="00305B4B"/>
    <w:rsid w:val="00311B4E"/>
    <w:rsid w:val="003120D8"/>
    <w:rsid w:val="003125AE"/>
    <w:rsid w:val="00316812"/>
    <w:rsid w:val="00317602"/>
    <w:rsid w:val="00317A80"/>
    <w:rsid w:val="00323505"/>
    <w:rsid w:val="00323A6C"/>
    <w:rsid w:val="00324D01"/>
    <w:rsid w:val="00325BB2"/>
    <w:rsid w:val="00332F37"/>
    <w:rsid w:val="00337A2B"/>
    <w:rsid w:val="00340BB0"/>
    <w:rsid w:val="00342620"/>
    <w:rsid w:val="003530A8"/>
    <w:rsid w:val="00360EAD"/>
    <w:rsid w:val="0036260F"/>
    <w:rsid w:val="0036674C"/>
    <w:rsid w:val="0037021E"/>
    <w:rsid w:val="00372002"/>
    <w:rsid w:val="00373871"/>
    <w:rsid w:val="00373BB1"/>
    <w:rsid w:val="00375E3C"/>
    <w:rsid w:val="00377D83"/>
    <w:rsid w:val="00390354"/>
    <w:rsid w:val="00394EE9"/>
    <w:rsid w:val="003A7D71"/>
    <w:rsid w:val="003A7E6B"/>
    <w:rsid w:val="003B1150"/>
    <w:rsid w:val="003C09D7"/>
    <w:rsid w:val="003C7661"/>
    <w:rsid w:val="003D10E8"/>
    <w:rsid w:val="003D3539"/>
    <w:rsid w:val="003D6BA0"/>
    <w:rsid w:val="003D7EBE"/>
    <w:rsid w:val="003E5FFD"/>
    <w:rsid w:val="003E6C71"/>
    <w:rsid w:val="003F29CB"/>
    <w:rsid w:val="003F3F39"/>
    <w:rsid w:val="003F5A4B"/>
    <w:rsid w:val="00400BA4"/>
    <w:rsid w:val="0041149C"/>
    <w:rsid w:val="004208E0"/>
    <w:rsid w:val="0042202A"/>
    <w:rsid w:val="004265A0"/>
    <w:rsid w:val="00426648"/>
    <w:rsid w:val="00430071"/>
    <w:rsid w:val="00433702"/>
    <w:rsid w:val="004371BA"/>
    <w:rsid w:val="00440EA2"/>
    <w:rsid w:val="00446F02"/>
    <w:rsid w:val="0045142F"/>
    <w:rsid w:val="004551C3"/>
    <w:rsid w:val="004614A1"/>
    <w:rsid w:val="00461C92"/>
    <w:rsid w:val="00462D65"/>
    <w:rsid w:val="00465142"/>
    <w:rsid w:val="00466869"/>
    <w:rsid w:val="00477C88"/>
    <w:rsid w:val="004851D3"/>
    <w:rsid w:val="004A1206"/>
    <w:rsid w:val="004A5062"/>
    <w:rsid w:val="004A53F3"/>
    <w:rsid w:val="004A578A"/>
    <w:rsid w:val="004B7EB6"/>
    <w:rsid w:val="004C0C16"/>
    <w:rsid w:val="004C2A9B"/>
    <w:rsid w:val="004C3888"/>
    <w:rsid w:val="004C4BA3"/>
    <w:rsid w:val="004D1435"/>
    <w:rsid w:val="004D6CF6"/>
    <w:rsid w:val="004E2B55"/>
    <w:rsid w:val="004F1E16"/>
    <w:rsid w:val="0050494D"/>
    <w:rsid w:val="00505548"/>
    <w:rsid w:val="0051377A"/>
    <w:rsid w:val="00516CA9"/>
    <w:rsid w:val="00522567"/>
    <w:rsid w:val="005301B5"/>
    <w:rsid w:val="00534B04"/>
    <w:rsid w:val="00540C85"/>
    <w:rsid w:val="00554875"/>
    <w:rsid w:val="005776FB"/>
    <w:rsid w:val="0058322B"/>
    <w:rsid w:val="0059177A"/>
    <w:rsid w:val="00591A4C"/>
    <w:rsid w:val="00591BCB"/>
    <w:rsid w:val="00595641"/>
    <w:rsid w:val="005A25EE"/>
    <w:rsid w:val="005A32B8"/>
    <w:rsid w:val="005A38CA"/>
    <w:rsid w:val="005A726D"/>
    <w:rsid w:val="005A75F5"/>
    <w:rsid w:val="005B2607"/>
    <w:rsid w:val="005B2ADD"/>
    <w:rsid w:val="005C0978"/>
    <w:rsid w:val="005C2736"/>
    <w:rsid w:val="005C289D"/>
    <w:rsid w:val="005C5B0C"/>
    <w:rsid w:val="005D14F6"/>
    <w:rsid w:val="005D5CA4"/>
    <w:rsid w:val="005D6416"/>
    <w:rsid w:val="005D6A21"/>
    <w:rsid w:val="005E3806"/>
    <w:rsid w:val="005E613D"/>
    <w:rsid w:val="005E7F0E"/>
    <w:rsid w:val="005F4F75"/>
    <w:rsid w:val="005F6111"/>
    <w:rsid w:val="006012B6"/>
    <w:rsid w:val="0061074C"/>
    <w:rsid w:val="00611015"/>
    <w:rsid w:val="00616327"/>
    <w:rsid w:val="00616A75"/>
    <w:rsid w:val="00624393"/>
    <w:rsid w:val="006429D7"/>
    <w:rsid w:val="00646438"/>
    <w:rsid w:val="00652615"/>
    <w:rsid w:val="00653AD7"/>
    <w:rsid w:val="00654490"/>
    <w:rsid w:val="00655644"/>
    <w:rsid w:val="00670DD8"/>
    <w:rsid w:val="00684B06"/>
    <w:rsid w:val="00686048"/>
    <w:rsid w:val="00687D47"/>
    <w:rsid w:val="006909D6"/>
    <w:rsid w:val="0069255E"/>
    <w:rsid w:val="0069503F"/>
    <w:rsid w:val="00696E40"/>
    <w:rsid w:val="006A0B27"/>
    <w:rsid w:val="006A1795"/>
    <w:rsid w:val="006A18A0"/>
    <w:rsid w:val="006A43B1"/>
    <w:rsid w:val="006A5D33"/>
    <w:rsid w:val="006B7733"/>
    <w:rsid w:val="006C3341"/>
    <w:rsid w:val="006C4E4D"/>
    <w:rsid w:val="006D1FF5"/>
    <w:rsid w:val="006E5CE6"/>
    <w:rsid w:val="006E670A"/>
    <w:rsid w:val="006F7ED3"/>
    <w:rsid w:val="007000BE"/>
    <w:rsid w:val="0070117B"/>
    <w:rsid w:val="00702C4D"/>
    <w:rsid w:val="00704A3B"/>
    <w:rsid w:val="00706ED0"/>
    <w:rsid w:val="0071088C"/>
    <w:rsid w:val="0071104C"/>
    <w:rsid w:val="00711723"/>
    <w:rsid w:val="0072195E"/>
    <w:rsid w:val="00733C96"/>
    <w:rsid w:val="007350EF"/>
    <w:rsid w:val="007401AA"/>
    <w:rsid w:val="00751921"/>
    <w:rsid w:val="007527C7"/>
    <w:rsid w:val="00753D76"/>
    <w:rsid w:val="00753EE0"/>
    <w:rsid w:val="00754EFC"/>
    <w:rsid w:val="00755E9C"/>
    <w:rsid w:val="0075607A"/>
    <w:rsid w:val="0076257B"/>
    <w:rsid w:val="00763D3F"/>
    <w:rsid w:val="0076724A"/>
    <w:rsid w:val="0077533C"/>
    <w:rsid w:val="00781F24"/>
    <w:rsid w:val="00792270"/>
    <w:rsid w:val="007A052F"/>
    <w:rsid w:val="007A142E"/>
    <w:rsid w:val="007A303C"/>
    <w:rsid w:val="007A3078"/>
    <w:rsid w:val="007A32EA"/>
    <w:rsid w:val="007B2514"/>
    <w:rsid w:val="007B2E8F"/>
    <w:rsid w:val="007B410F"/>
    <w:rsid w:val="007B574E"/>
    <w:rsid w:val="007B6368"/>
    <w:rsid w:val="007B65D3"/>
    <w:rsid w:val="007C2E3D"/>
    <w:rsid w:val="007C4F22"/>
    <w:rsid w:val="007C5A2C"/>
    <w:rsid w:val="007C6C96"/>
    <w:rsid w:val="007D1ED8"/>
    <w:rsid w:val="007D1F0E"/>
    <w:rsid w:val="007D646B"/>
    <w:rsid w:val="007D742E"/>
    <w:rsid w:val="007D77B4"/>
    <w:rsid w:val="007F4B94"/>
    <w:rsid w:val="007F755A"/>
    <w:rsid w:val="007F7CF8"/>
    <w:rsid w:val="0080177D"/>
    <w:rsid w:val="0080603C"/>
    <w:rsid w:val="00806FD9"/>
    <w:rsid w:val="00827363"/>
    <w:rsid w:val="00830488"/>
    <w:rsid w:val="00835CA1"/>
    <w:rsid w:val="00836826"/>
    <w:rsid w:val="00836FEE"/>
    <w:rsid w:val="00840F25"/>
    <w:rsid w:val="0084374D"/>
    <w:rsid w:val="008441A3"/>
    <w:rsid w:val="00847EB3"/>
    <w:rsid w:val="0085170D"/>
    <w:rsid w:val="00862DF5"/>
    <w:rsid w:val="00863D43"/>
    <w:rsid w:val="00864F8F"/>
    <w:rsid w:val="0086704B"/>
    <w:rsid w:val="0086744B"/>
    <w:rsid w:val="0087149A"/>
    <w:rsid w:val="00871783"/>
    <w:rsid w:val="00874676"/>
    <w:rsid w:val="00880455"/>
    <w:rsid w:val="0089483D"/>
    <w:rsid w:val="008A1BFD"/>
    <w:rsid w:val="008A3FB7"/>
    <w:rsid w:val="008B0CEC"/>
    <w:rsid w:val="008B34CE"/>
    <w:rsid w:val="008B7502"/>
    <w:rsid w:val="008E2161"/>
    <w:rsid w:val="008E5F2F"/>
    <w:rsid w:val="008E607E"/>
    <w:rsid w:val="008F2D08"/>
    <w:rsid w:val="00901AA3"/>
    <w:rsid w:val="0090592E"/>
    <w:rsid w:val="00905C70"/>
    <w:rsid w:val="00907177"/>
    <w:rsid w:val="00911292"/>
    <w:rsid w:val="00922A46"/>
    <w:rsid w:val="009436F3"/>
    <w:rsid w:val="00943A9E"/>
    <w:rsid w:val="00946DA1"/>
    <w:rsid w:val="0094764A"/>
    <w:rsid w:val="009537A2"/>
    <w:rsid w:val="0095680B"/>
    <w:rsid w:val="00957313"/>
    <w:rsid w:val="009666FD"/>
    <w:rsid w:val="00967A01"/>
    <w:rsid w:val="0097160A"/>
    <w:rsid w:val="0097200A"/>
    <w:rsid w:val="00983D8F"/>
    <w:rsid w:val="00983E7D"/>
    <w:rsid w:val="009855B9"/>
    <w:rsid w:val="0098717A"/>
    <w:rsid w:val="00990F41"/>
    <w:rsid w:val="009947C7"/>
    <w:rsid w:val="009A044F"/>
    <w:rsid w:val="009A720A"/>
    <w:rsid w:val="009B1402"/>
    <w:rsid w:val="009B3B9F"/>
    <w:rsid w:val="009B5D8C"/>
    <w:rsid w:val="009B7EF3"/>
    <w:rsid w:val="009C07D3"/>
    <w:rsid w:val="009C72A4"/>
    <w:rsid w:val="009D4F02"/>
    <w:rsid w:val="009D554A"/>
    <w:rsid w:val="009E0576"/>
    <w:rsid w:val="009F4712"/>
    <w:rsid w:val="00A005CC"/>
    <w:rsid w:val="00A03630"/>
    <w:rsid w:val="00A112D3"/>
    <w:rsid w:val="00A221E4"/>
    <w:rsid w:val="00A242BC"/>
    <w:rsid w:val="00A24BE9"/>
    <w:rsid w:val="00A327F7"/>
    <w:rsid w:val="00A35FA6"/>
    <w:rsid w:val="00A37198"/>
    <w:rsid w:val="00A37246"/>
    <w:rsid w:val="00A40590"/>
    <w:rsid w:val="00A4283D"/>
    <w:rsid w:val="00A50980"/>
    <w:rsid w:val="00A52EE5"/>
    <w:rsid w:val="00A54867"/>
    <w:rsid w:val="00A622E8"/>
    <w:rsid w:val="00A71BED"/>
    <w:rsid w:val="00A723A6"/>
    <w:rsid w:val="00A7620F"/>
    <w:rsid w:val="00A77A3B"/>
    <w:rsid w:val="00A8219C"/>
    <w:rsid w:val="00A83778"/>
    <w:rsid w:val="00A849A0"/>
    <w:rsid w:val="00A85E9C"/>
    <w:rsid w:val="00A90E3B"/>
    <w:rsid w:val="00A917FD"/>
    <w:rsid w:val="00A93F64"/>
    <w:rsid w:val="00A950F1"/>
    <w:rsid w:val="00A9514A"/>
    <w:rsid w:val="00AA127C"/>
    <w:rsid w:val="00AA5FDC"/>
    <w:rsid w:val="00AA7C56"/>
    <w:rsid w:val="00AB161E"/>
    <w:rsid w:val="00AB76E1"/>
    <w:rsid w:val="00AC54C0"/>
    <w:rsid w:val="00AD1EB7"/>
    <w:rsid w:val="00AD4954"/>
    <w:rsid w:val="00AD5D08"/>
    <w:rsid w:val="00AD6B76"/>
    <w:rsid w:val="00AD7BBF"/>
    <w:rsid w:val="00AE0C38"/>
    <w:rsid w:val="00AE3E40"/>
    <w:rsid w:val="00AE4C3E"/>
    <w:rsid w:val="00AE6BF5"/>
    <w:rsid w:val="00AE6C3F"/>
    <w:rsid w:val="00AF04F0"/>
    <w:rsid w:val="00AF49F8"/>
    <w:rsid w:val="00AF52A3"/>
    <w:rsid w:val="00AF6C06"/>
    <w:rsid w:val="00B0246F"/>
    <w:rsid w:val="00B038EB"/>
    <w:rsid w:val="00B14243"/>
    <w:rsid w:val="00B20397"/>
    <w:rsid w:val="00B21B60"/>
    <w:rsid w:val="00B2409F"/>
    <w:rsid w:val="00B26281"/>
    <w:rsid w:val="00B357F6"/>
    <w:rsid w:val="00B364DC"/>
    <w:rsid w:val="00B41418"/>
    <w:rsid w:val="00B45EBF"/>
    <w:rsid w:val="00B47AB1"/>
    <w:rsid w:val="00B5557F"/>
    <w:rsid w:val="00B725D5"/>
    <w:rsid w:val="00B72BF6"/>
    <w:rsid w:val="00B7774B"/>
    <w:rsid w:val="00B81C79"/>
    <w:rsid w:val="00B82936"/>
    <w:rsid w:val="00B862D9"/>
    <w:rsid w:val="00B87F36"/>
    <w:rsid w:val="00B9054B"/>
    <w:rsid w:val="00B9066B"/>
    <w:rsid w:val="00B921B3"/>
    <w:rsid w:val="00B92384"/>
    <w:rsid w:val="00BA3EE6"/>
    <w:rsid w:val="00BA546F"/>
    <w:rsid w:val="00BA590B"/>
    <w:rsid w:val="00BB0FE6"/>
    <w:rsid w:val="00BB2699"/>
    <w:rsid w:val="00BB33BA"/>
    <w:rsid w:val="00BB4DAA"/>
    <w:rsid w:val="00BC17BC"/>
    <w:rsid w:val="00BC5E4C"/>
    <w:rsid w:val="00BC6B99"/>
    <w:rsid w:val="00BD5597"/>
    <w:rsid w:val="00BD7602"/>
    <w:rsid w:val="00BE115A"/>
    <w:rsid w:val="00BE40E1"/>
    <w:rsid w:val="00BF1CE3"/>
    <w:rsid w:val="00BF20D1"/>
    <w:rsid w:val="00C017E0"/>
    <w:rsid w:val="00C05A6F"/>
    <w:rsid w:val="00C05D6C"/>
    <w:rsid w:val="00C17816"/>
    <w:rsid w:val="00C20ADC"/>
    <w:rsid w:val="00C31276"/>
    <w:rsid w:val="00C46AC1"/>
    <w:rsid w:val="00C51500"/>
    <w:rsid w:val="00C551AC"/>
    <w:rsid w:val="00C571C2"/>
    <w:rsid w:val="00C6254E"/>
    <w:rsid w:val="00C62AFC"/>
    <w:rsid w:val="00C65EA8"/>
    <w:rsid w:val="00C7767D"/>
    <w:rsid w:val="00C80248"/>
    <w:rsid w:val="00C8283A"/>
    <w:rsid w:val="00CA234A"/>
    <w:rsid w:val="00CA3F8A"/>
    <w:rsid w:val="00CB4029"/>
    <w:rsid w:val="00CB4A0E"/>
    <w:rsid w:val="00CB7972"/>
    <w:rsid w:val="00CC0544"/>
    <w:rsid w:val="00CC26E9"/>
    <w:rsid w:val="00CC7F71"/>
    <w:rsid w:val="00CD1D3A"/>
    <w:rsid w:val="00CD208F"/>
    <w:rsid w:val="00CD760B"/>
    <w:rsid w:val="00CF0183"/>
    <w:rsid w:val="00CF2B61"/>
    <w:rsid w:val="00CF3EC4"/>
    <w:rsid w:val="00CF4EF3"/>
    <w:rsid w:val="00D01902"/>
    <w:rsid w:val="00D0630D"/>
    <w:rsid w:val="00D117A3"/>
    <w:rsid w:val="00D16F9E"/>
    <w:rsid w:val="00D176F7"/>
    <w:rsid w:val="00D24653"/>
    <w:rsid w:val="00D35162"/>
    <w:rsid w:val="00D36882"/>
    <w:rsid w:val="00D4205D"/>
    <w:rsid w:val="00D52A24"/>
    <w:rsid w:val="00D6213A"/>
    <w:rsid w:val="00D665EB"/>
    <w:rsid w:val="00D8259F"/>
    <w:rsid w:val="00D84E9C"/>
    <w:rsid w:val="00D90DA9"/>
    <w:rsid w:val="00D94997"/>
    <w:rsid w:val="00D97D7F"/>
    <w:rsid w:val="00DA2F8F"/>
    <w:rsid w:val="00DB09DE"/>
    <w:rsid w:val="00DB1FA5"/>
    <w:rsid w:val="00DB291B"/>
    <w:rsid w:val="00DB4420"/>
    <w:rsid w:val="00DC4A50"/>
    <w:rsid w:val="00DD6485"/>
    <w:rsid w:val="00DE0491"/>
    <w:rsid w:val="00DE33F2"/>
    <w:rsid w:val="00DF1351"/>
    <w:rsid w:val="00DF1769"/>
    <w:rsid w:val="00DF51C7"/>
    <w:rsid w:val="00DF7D50"/>
    <w:rsid w:val="00E00A7A"/>
    <w:rsid w:val="00E0249F"/>
    <w:rsid w:val="00E14DB5"/>
    <w:rsid w:val="00E14DF0"/>
    <w:rsid w:val="00E24F7D"/>
    <w:rsid w:val="00E251A3"/>
    <w:rsid w:val="00E35D1C"/>
    <w:rsid w:val="00E40CEB"/>
    <w:rsid w:val="00E47E63"/>
    <w:rsid w:val="00E55717"/>
    <w:rsid w:val="00E6107A"/>
    <w:rsid w:val="00E61167"/>
    <w:rsid w:val="00E64093"/>
    <w:rsid w:val="00E64AF6"/>
    <w:rsid w:val="00E65CF1"/>
    <w:rsid w:val="00E71A42"/>
    <w:rsid w:val="00E771DD"/>
    <w:rsid w:val="00E86B4E"/>
    <w:rsid w:val="00E86C4D"/>
    <w:rsid w:val="00E93FB3"/>
    <w:rsid w:val="00E96AB6"/>
    <w:rsid w:val="00EA5954"/>
    <w:rsid w:val="00EA601C"/>
    <w:rsid w:val="00EB5055"/>
    <w:rsid w:val="00EC28EE"/>
    <w:rsid w:val="00EC63ED"/>
    <w:rsid w:val="00ED5AE0"/>
    <w:rsid w:val="00ED7AED"/>
    <w:rsid w:val="00EF33DD"/>
    <w:rsid w:val="00EF3E03"/>
    <w:rsid w:val="00EF3FF4"/>
    <w:rsid w:val="00EF5F3D"/>
    <w:rsid w:val="00EF6C35"/>
    <w:rsid w:val="00F014E6"/>
    <w:rsid w:val="00F13F05"/>
    <w:rsid w:val="00F22DA1"/>
    <w:rsid w:val="00F25FDE"/>
    <w:rsid w:val="00F303D7"/>
    <w:rsid w:val="00F32E74"/>
    <w:rsid w:val="00F375A8"/>
    <w:rsid w:val="00F44354"/>
    <w:rsid w:val="00F45831"/>
    <w:rsid w:val="00F5185A"/>
    <w:rsid w:val="00F54449"/>
    <w:rsid w:val="00F54BB2"/>
    <w:rsid w:val="00F61DE9"/>
    <w:rsid w:val="00F63555"/>
    <w:rsid w:val="00F65A98"/>
    <w:rsid w:val="00F76954"/>
    <w:rsid w:val="00F821E9"/>
    <w:rsid w:val="00F85C77"/>
    <w:rsid w:val="00F8698C"/>
    <w:rsid w:val="00F91308"/>
    <w:rsid w:val="00F950CE"/>
    <w:rsid w:val="00FB401F"/>
    <w:rsid w:val="00FB5B9B"/>
    <w:rsid w:val="00FC5B9F"/>
    <w:rsid w:val="00FD1D16"/>
    <w:rsid w:val="00FD2F43"/>
    <w:rsid w:val="00FE164C"/>
    <w:rsid w:val="00FF0243"/>
    <w:rsid w:val="00FF0459"/>
    <w:rsid w:val="00FF1420"/>
    <w:rsid w:val="00FF436D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16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6C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basedOn w:val="a"/>
    <w:autoRedefine/>
    <w:qFormat/>
    <w:rsid w:val="00516CA9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516CA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>微软中国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收发员</dc:creator>
  <cp:lastModifiedBy>收发员</cp:lastModifiedBy>
  <cp:revision>1</cp:revision>
  <dcterms:created xsi:type="dcterms:W3CDTF">2024-04-26T07:37:00Z</dcterms:created>
  <dcterms:modified xsi:type="dcterms:W3CDTF">2024-04-26T07:37:00Z</dcterms:modified>
</cp:coreProperties>
</file>